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53714" w14:textId="281C02A0" w:rsidR="00CA6B93" w:rsidRPr="00BB4DB7" w:rsidRDefault="00CA6B93" w:rsidP="00CA6B93">
      <w:pPr>
        <w:pBdr>
          <w:bottom w:val="single" w:sz="12" w:space="1" w:color="auto"/>
        </w:pBdr>
        <w:jc w:val="both"/>
        <w:rPr>
          <w:rFonts w:ascii="Verdana" w:hAnsi="Verdana" w:cstheme="minorHAnsi"/>
          <w:b/>
          <w:sz w:val="28"/>
        </w:rPr>
      </w:pPr>
      <w:r w:rsidRPr="00BB4DB7">
        <w:rPr>
          <w:rFonts w:ascii="Verdana" w:hAnsi="Verdana" w:cstheme="minorHAnsi"/>
          <w:b/>
          <w:sz w:val="28"/>
        </w:rPr>
        <w:t xml:space="preserve">ANNEX </w:t>
      </w:r>
      <w:r>
        <w:rPr>
          <w:rFonts w:ascii="Verdana" w:hAnsi="Verdana" w:cstheme="minorHAnsi"/>
          <w:b/>
          <w:sz w:val="28"/>
        </w:rPr>
        <w:t>4</w:t>
      </w:r>
      <w:r w:rsidRPr="00BB4DB7">
        <w:rPr>
          <w:rFonts w:ascii="Verdana" w:hAnsi="Verdana" w:cstheme="minorHAnsi"/>
          <w:b/>
          <w:sz w:val="28"/>
        </w:rPr>
        <w:t xml:space="preserve">: </w:t>
      </w:r>
      <w:r>
        <w:rPr>
          <w:rFonts w:ascii="Verdana" w:hAnsi="Verdana" w:cstheme="minorHAnsi"/>
          <w:b/>
          <w:sz w:val="28"/>
        </w:rPr>
        <w:t>Condicions especifiques projecte executiu sala blanca</w:t>
      </w:r>
    </w:p>
    <w:p w14:paraId="010DAA4D" w14:textId="77777777" w:rsidR="009C6FF6" w:rsidRPr="009C6FF6" w:rsidRDefault="009C6FF6" w:rsidP="00CA6B93">
      <w:pPr>
        <w:jc w:val="both"/>
        <w:rPr>
          <w:rFonts w:ascii="Verdana" w:hAnsi="Verdana" w:cstheme="minorHAnsi"/>
          <w:b/>
          <w:sz w:val="32"/>
          <w:szCs w:val="32"/>
          <w:u w:val="single"/>
        </w:rPr>
      </w:pPr>
    </w:p>
    <w:p w14:paraId="3ECBA752" w14:textId="26A1EE0C" w:rsidR="00CA6B93" w:rsidRPr="009C6FF6" w:rsidRDefault="00CA6B93" w:rsidP="00CA6B93">
      <w:pPr>
        <w:jc w:val="both"/>
        <w:rPr>
          <w:rFonts w:ascii="Verdana" w:hAnsi="Verdana" w:cstheme="minorHAnsi"/>
          <w:b/>
          <w:bCs/>
          <w:sz w:val="32"/>
          <w:szCs w:val="32"/>
          <w:shd w:val="clear" w:color="auto" w:fill="FFFF00"/>
        </w:rPr>
      </w:pPr>
      <w:r w:rsidRPr="009C6FF6">
        <w:rPr>
          <w:rFonts w:ascii="Verdana" w:hAnsi="Verdana" w:cstheme="minorHAnsi"/>
          <w:b/>
          <w:bCs/>
          <w:sz w:val="32"/>
          <w:szCs w:val="32"/>
        </w:rPr>
        <w:t>Expedient</w:t>
      </w:r>
      <w:r w:rsidRPr="00540F14">
        <w:rPr>
          <w:rFonts w:ascii="Verdana" w:hAnsi="Verdana" w:cstheme="minorHAnsi"/>
          <w:b/>
          <w:bCs/>
          <w:sz w:val="32"/>
          <w:szCs w:val="32"/>
          <w:highlight w:val="lightGray"/>
        </w:rPr>
        <w:t xml:space="preserve">: </w:t>
      </w:r>
      <w:r w:rsidR="00540F14" w:rsidRPr="00540F14">
        <w:rPr>
          <w:rFonts w:ascii="Verdana" w:hAnsi="Verdana" w:cstheme="minorHAnsi"/>
          <w:b/>
          <w:bCs/>
          <w:sz w:val="32"/>
          <w:szCs w:val="32"/>
          <w:highlight w:val="lightGray"/>
          <w:shd w:val="clear" w:color="auto" w:fill="FFFF00"/>
        </w:rPr>
        <w:t>CO/1000/1100007940/26/PS</w:t>
      </w:r>
    </w:p>
    <w:p w14:paraId="25DEBF1F" w14:textId="77777777" w:rsidR="00CA6B93" w:rsidRPr="008D426B" w:rsidRDefault="00CA6B93" w:rsidP="00CA6B93">
      <w:pPr>
        <w:jc w:val="both"/>
        <w:rPr>
          <w:rFonts w:ascii="Verdana" w:hAnsi="Verdana" w:cstheme="minorHAnsi"/>
          <w:b/>
          <w:bCs/>
        </w:rPr>
      </w:pPr>
      <w:bookmarkStart w:id="0" w:name="_GoBack"/>
      <w:bookmarkEnd w:id="0"/>
    </w:p>
    <w:p w14:paraId="1CB035C0" w14:textId="77777777" w:rsidR="009C6FF6" w:rsidRPr="00C15775" w:rsidRDefault="009C6FF6" w:rsidP="009C6FF6">
      <w:pPr>
        <w:widowControl w:val="0"/>
        <w:autoSpaceDE w:val="0"/>
        <w:autoSpaceDN w:val="0"/>
        <w:adjustRightInd w:val="0"/>
        <w:spacing w:line="320" w:lineRule="exact"/>
        <w:jc w:val="both"/>
        <w:rPr>
          <w:rFonts w:ascii="Verdana" w:hAnsi="Verdana" w:cstheme="majorHAnsi"/>
          <w:b/>
          <w:bCs/>
          <w:sz w:val="32"/>
          <w:szCs w:val="28"/>
        </w:rPr>
      </w:pPr>
      <w:r w:rsidRPr="00C15775">
        <w:rPr>
          <w:rFonts w:ascii="Verdana" w:hAnsi="Verdana" w:cstheme="majorHAnsi"/>
          <w:b/>
          <w:bCs/>
          <w:sz w:val="32"/>
          <w:szCs w:val="28"/>
        </w:rPr>
        <w:t xml:space="preserve">CONTRACTACIÓ </w:t>
      </w:r>
      <w:r>
        <w:rPr>
          <w:rFonts w:ascii="Verdana" w:hAnsi="Verdana" w:cstheme="majorHAnsi"/>
          <w:b/>
          <w:bCs/>
          <w:sz w:val="32"/>
          <w:szCs w:val="28"/>
        </w:rPr>
        <w:t>D’EXECUCIÓ</w:t>
      </w:r>
      <w:r w:rsidRPr="00C15775">
        <w:rPr>
          <w:rFonts w:ascii="Verdana" w:hAnsi="Verdana" w:cstheme="majorHAnsi"/>
          <w:b/>
          <w:bCs/>
          <w:sz w:val="32"/>
          <w:szCs w:val="28"/>
        </w:rPr>
        <w:t xml:space="preserve"> </w:t>
      </w:r>
      <w:r>
        <w:rPr>
          <w:rFonts w:ascii="Verdana" w:hAnsi="Verdana" w:cstheme="majorHAnsi"/>
          <w:b/>
          <w:bCs/>
          <w:sz w:val="32"/>
          <w:szCs w:val="28"/>
        </w:rPr>
        <w:t>D’</w:t>
      </w:r>
      <w:r w:rsidRPr="00C15775">
        <w:rPr>
          <w:rFonts w:ascii="Verdana" w:hAnsi="Verdana" w:cstheme="majorHAnsi"/>
          <w:b/>
          <w:bCs/>
          <w:sz w:val="32"/>
          <w:szCs w:val="28"/>
        </w:rPr>
        <w:t xml:space="preserve">OBRES PER L’ADEQUACIÓ DE LA CLIMATITZACIÓ I SISTEMA DE CONTROL </w:t>
      </w:r>
      <w:r>
        <w:rPr>
          <w:rFonts w:ascii="Verdana" w:hAnsi="Verdana" w:cstheme="majorHAnsi"/>
          <w:b/>
          <w:bCs/>
          <w:sz w:val="32"/>
          <w:szCs w:val="28"/>
        </w:rPr>
        <w:t xml:space="preserve">DE </w:t>
      </w:r>
      <w:r w:rsidRPr="00C15775">
        <w:rPr>
          <w:rFonts w:ascii="Verdana" w:hAnsi="Verdana" w:cstheme="majorHAnsi"/>
          <w:b/>
          <w:bCs/>
          <w:sz w:val="32"/>
          <w:szCs w:val="28"/>
        </w:rPr>
        <w:t>LES SALES BLANQUES DE PLANTA  5</w:t>
      </w:r>
      <w:r>
        <w:rPr>
          <w:rFonts w:ascii="Verdana" w:hAnsi="Verdana" w:cstheme="majorHAnsi"/>
          <w:b/>
          <w:bCs/>
          <w:sz w:val="32"/>
          <w:szCs w:val="28"/>
        </w:rPr>
        <w:t xml:space="preserve"> </w:t>
      </w:r>
      <w:r w:rsidRPr="00C15775">
        <w:rPr>
          <w:rFonts w:ascii="Verdana" w:hAnsi="Verdana" w:cstheme="majorHAnsi"/>
          <w:b/>
          <w:bCs/>
          <w:sz w:val="32"/>
          <w:szCs w:val="28"/>
        </w:rPr>
        <w:t>DE LA SEU CENTRAL DEL BANC DE SANG I TEIXITS</w:t>
      </w:r>
      <w:r>
        <w:rPr>
          <w:rFonts w:ascii="Verdana" w:hAnsi="Verdana" w:cstheme="majorHAnsi"/>
          <w:b/>
          <w:bCs/>
          <w:sz w:val="32"/>
          <w:szCs w:val="28"/>
        </w:rPr>
        <w:t xml:space="preserve"> I ELS SERVEIS DE LA DIRECCIÓ FACULTATIVA</w:t>
      </w:r>
      <w:r w:rsidRPr="00C15775">
        <w:rPr>
          <w:rFonts w:ascii="Verdana" w:hAnsi="Verdana" w:cstheme="majorHAnsi"/>
          <w:b/>
          <w:bCs/>
          <w:sz w:val="32"/>
          <w:szCs w:val="28"/>
        </w:rPr>
        <w:t>. </w:t>
      </w:r>
    </w:p>
    <w:p w14:paraId="44C3B313" w14:textId="6E29F77A" w:rsidR="00CA6B93" w:rsidRPr="00BB4DB7" w:rsidRDefault="00CA6B93" w:rsidP="00CA6B93">
      <w:pPr>
        <w:jc w:val="both"/>
        <w:rPr>
          <w:rFonts w:ascii="Verdana" w:hAnsi="Verdana" w:cstheme="minorHAnsi"/>
          <w:b/>
          <w:u w:val="single"/>
        </w:rPr>
      </w:pPr>
      <w:r w:rsidRPr="00BB4DB7">
        <w:rPr>
          <w:rFonts w:ascii="Verdana" w:hAnsi="Verdana" w:cstheme="minorHAnsi"/>
          <w:b/>
          <w:u w:val="single"/>
        </w:rPr>
        <w:t>_____________________</w:t>
      </w:r>
      <w:r>
        <w:rPr>
          <w:rFonts w:ascii="Verdana" w:hAnsi="Verdana" w:cstheme="minorHAnsi"/>
          <w:b/>
          <w:u w:val="single"/>
        </w:rPr>
        <w:t>______________________________</w:t>
      </w:r>
    </w:p>
    <w:p w14:paraId="78FD34D4" w14:textId="77777777" w:rsidR="00CA6B93" w:rsidRDefault="00CA6B93" w:rsidP="00CA6B93">
      <w:pPr>
        <w:jc w:val="both"/>
        <w:rPr>
          <w:rFonts w:ascii="Verdana" w:hAnsi="Verdana" w:cstheme="minorHAnsi"/>
          <w:b/>
        </w:rPr>
      </w:pPr>
    </w:p>
    <w:p w14:paraId="56A8E152" w14:textId="77777777" w:rsidR="00604441" w:rsidRPr="006F2A0C" w:rsidRDefault="00604441" w:rsidP="00604441">
      <w:p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El projecte es redactarà d’acord amb l’Annex 2 – Criteris de realització de projectes, adaptant-lo explícitament a l’entorn de sala blanca i al marc GMP/ISO 14644. Sense perjudici de l’obligació general d’entregar un projecte complet, executable i orientat a validació, el licitador haurà de desenvolupar, com a mínim, els aspectes següents:</w:t>
      </w:r>
    </w:p>
    <w:p w14:paraId="27D8E7AC" w14:textId="77777777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hAnsiTheme="majorHAnsi" w:cstheme="majorHAnsi"/>
          <w:sz w:val="20"/>
          <w:u w:val="single"/>
        </w:rPr>
        <w:t>URS del projecte i tancament de requisits.</w:t>
      </w:r>
    </w:p>
    <w:p w14:paraId="473C8601" w14:textId="77777777" w:rsidR="00604441" w:rsidRPr="006F2A0C" w:rsidRDefault="00604441" w:rsidP="00604441">
      <w:pPr>
        <w:spacing w:after="240" w:line="320" w:lineRule="exact"/>
        <w:ind w:left="72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El BST facilitarà la base de requisits (URS). El licitador haurà de documentar-los, completar-los i tancar-los mitjançant preguntes dirigides (classificació per sala, pressions i cascada, ACH, rangs de temperatura i humitat, modes normal/degradat, temps de recuperació, càrregues i equipament), aportant traçabilitat entre el que es demana, el que es dissenya i com es verificarà..</w:t>
      </w:r>
    </w:p>
    <w:p w14:paraId="77EDAA01" w14:textId="77777777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hAnsiTheme="majorHAnsi" w:cstheme="majorHAnsi"/>
          <w:sz w:val="20"/>
          <w:u w:val="single"/>
        </w:rPr>
        <w:t>Disseny del proc</w:t>
      </w:r>
      <w:r w:rsidRPr="00604441">
        <w:rPr>
          <w:rFonts w:asciiTheme="majorHAnsi" w:eastAsiaTheme="minorEastAsia" w:hAnsiTheme="majorHAnsi" w:cstheme="majorHAnsi"/>
          <w:sz w:val="20"/>
          <w:u w:val="single"/>
        </w:rPr>
        <w:t>ediment esp</w:t>
      </w:r>
      <w:r w:rsidRPr="00604441">
        <w:rPr>
          <w:rFonts w:asciiTheme="majorHAnsi" w:hAnsiTheme="majorHAnsi" w:cstheme="majorHAnsi"/>
          <w:sz w:val="20"/>
          <w:u w:val="single"/>
        </w:rPr>
        <w:t>ecífic de construcció i mesures de sectorització i contenció en entorns controlats</w:t>
      </w:r>
    </w:p>
    <w:p w14:paraId="739FD9CD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El licitador haurà de dissenyar i documentar un procediment específic de construcció en entorn controlat que, fase a fase, defineixi com es prevenirà la dispersió de pols i partícules i com es preservaran les condicions ambientals i la no afectació de les àrees en servei (sales blanques i altres espais nets). </w:t>
      </w:r>
    </w:p>
    <w:p w14:paraId="56738DF9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El procediment haurà d’incloure, com a mínim: </w:t>
      </w:r>
    </w:p>
    <w:p w14:paraId="2A1A7714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Disseny de sectoritzacions i tancaments temporals (materials, segellats i plànols de límits i punts de pas),</w:t>
      </w:r>
    </w:p>
    <w:p w14:paraId="54570A23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La protecció d’equips i superfícies crítiques (difusors, filtres HEPA, panells)</w:t>
      </w:r>
    </w:p>
    <w:p w14:paraId="2A2CD2AF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Els circuits net/brut de personal, eines, materials i residus, els protocols de neteja (intermedis i finals) compatibles amb sala blanca, </w:t>
      </w:r>
    </w:p>
    <w:p w14:paraId="149B419E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La preservació de pressions diferencials en zones adjacents (punts de mesura i llindars de control) </w:t>
      </w:r>
    </w:p>
    <w:p w14:paraId="23310D29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Mecanisme de verificació prèvia d’inici de cada fase </w:t>
      </w:r>
    </w:p>
    <w:p w14:paraId="2BD2B1AA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Mesures de contingència davant desviacions (reforç de barreres, rutes alternatives, neteja d’emergència)</w:t>
      </w:r>
    </w:p>
    <w:p w14:paraId="4CF6A372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eastAsiaTheme="minorEastAsia" w:hAnsiTheme="majorHAnsi" w:cstheme="majorHAnsi"/>
          <w:sz w:val="20"/>
        </w:rPr>
      </w:pPr>
    </w:p>
    <w:p w14:paraId="2CE91A57" w14:textId="77777777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hAnsiTheme="majorHAnsi" w:cstheme="majorHAnsi"/>
          <w:sz w:val="20"/>
          <w:u w:val="single"/>
        </w:rPr>
        <w:t xml:space="preserve">Planificació i fasificació especifica per a minimització aturada espais productius. </w:t>
      </w:r>
    </w:p>
    <w:p w14:paraId="05A451DA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lastRenderedPageBreak/>
        <w:t xml:space="preserve">El licitador haurà de dissenyar i documentar una planificació i fasificació operativa específica per a les actuacions en sales blanques i altres espais nets, amb l’objectiu de minimitzar l’impacte, reduir temps en zona sensible i garantir el compliment del temps compromès d’aturada. </w:t>
      </w:r>
    </w:p>
    <w:p w14:paraId="0BE4CE4C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La proposta haurà d’incloure, com a mínim:</w:t>
      </w:r>
    </w:p>
    <w:p w14:paraId="63CAF2A1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Una seqüència constructiva per fases orientada a prefabricació/premuntatge off</w:t>
      </w:r>
      <w:r w:rsidRPr="006F2A0C">
        <w:rPr>
          <w:rFonts w:asciiTheme="majorHAnsi" w:hAnsiTheme="majorHAnsi" w:cstheme="majorHAnsi"/>
          <w:sz w:val="20"/>
        </w:rPr>
        <w:noBreakHyphen/>
        <w:t>site;</w:t>
      </w:r>
    </w:p>
    <w:p w14:paraId="7BCAED17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Un microcronograma de referència per a cada fase crítica (franges horàries o minut a minut si s’escau) amb camí crític i checkpoints; </w:t>
      </w:r>
    </w:p>
    <w:p w14:paraId="32F68D0F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Definició dels prerequisits d’inici de disseny i de les condicions per autoritzar el canvi de fase</w:t>
      </w:r>
    </w:p>
    <w:p w14:paraId="378E3C1C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Criteris de reassignació i recuperació previstos davant desviacions (treballs en paral·lel, reforç de recursos o reordenació de tasques sense ampliar finestra); </w:t>
      </w:r>
    </w:p>
    <w:p w14:paraId="66A4D8D5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Logística i implantació associada (accessos, rutes internes, punts d’acopi i mitjans auxiliars compatibles amb l’operativa del BST). </w:t>
      </w:r>
    </w:p>
    <w:p w14:paraId="5D1F5B56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Criteris de reversió ràpida a estat operatiu per alliberar els espais a neteja i validació dins del termini acordat.</w:t>
      </w:r>
    </w:p>
    <w:p w14:paraId="16FFEB08" w14:textId="2CC315E0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hAnsiTheme="majorHAnsi" w:cstheme="majorHAnsi"/>
          <w:sz w:val="20"/>
          <w:u w:val="single"/>
        </w:rPr>
        <w:t>Estratègia de control (BMS) específica.</w:t>
      </w:r>
    </w:p>
    <w:p w14:paraId="72E83DE3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El licitador haurà de dissenyar i documentar el sistema de control, automatització i supervisió necessari per garantir les condicions ambientals i l’operativitat en entorn de sala blanca. </w:t>
      </w:r>
    </w:p>
    <w:p w14:paraId="529B1F35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La documentació haurà d’incloure, com a mínim el desenvolupament de: </w:t>
      </w:r>
    </w:p>
    <w:p w14:paraId="240903E8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Filosofia de control i esquemes funcionals</w:t>
      </w:r>
    </w:p>
    <w:p w14:paraId="08E791FC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Definir, per sala i conjunt de sales, com es controlaran pressions, cabals, temperatura i humitat (modes normal/degradat/emergència) i aportar esquemes funcionals/P&amp;ID amb tots els elements de control identificats.</w:t>
      </w:r>
    </w:p>
    <w:p w14:paraId="36D81497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Matriu de punts i instrumentació. </w:t>
      </w:r>
    </w:p>
    <w:p w14:paraId="1A9AA67F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Lliurament de la “tag list “ amb nom, unitats, rangs i alarmes de cada punt</w:t>
      </w:r>
    </w:p>
    <w:p w14:paraId="39F20E1C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Estabilitat de pressions i cabals (lògiques clau)</w:t>
      </w:r>
    </w:p>
    <w:p w14:paraId="161415F3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Disseny i descripció de les lògiques aplicades per mantenir pressió diferencial i ACH (trim d’impulsió/retorn, histeresi/filtratge, resposta a obertura de portes i canvis de càrrega).</w:t>
      </w:r>
    </w:p>
    <w:p w14:paraId="1B9AD396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Alarmes, tendències i supervisió. </w:t>
      </w:r>
    </w:p>
    <w:p w14:paraId="1DB3DFD6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Definir el catàleg d’alarmes (llindars i prioritat), les variables amb tendència (freqüència i retenció) i el quadre/HMI orientat a operador (mapa de pressions i estat de sistemes).</w:t>
      </w:r>
    </w:p>
    <w:p w14:paraId="189ECD04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Definició de pantalles d’operador</w:t>
      </w:r>
    </w:p>
    <w:p w14:paraId="1F2BD5BE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Recuperació i disponibilitat. </w:t>
      </w:r>
    </w:p>
    <w:p w14:paraId="6FB391D8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Establir la seqüència de re</w:t>
      </w:r>
      <w:r w:rsidRPr="006F2A0C">
        <w:rPr>
          <w:rFonts w:asciiTheme="majorHAnsi" w:hAnsiTheme="majorHAnsi" w:cstheme="majorHAnsi"/>
          <w:sz w:val="20"/>
        </w:rPr>
        <w:noBreakHyphen/>
        <w:t>arrencada després d’aturada amb temps de recuperació objectiu, més la redundància/modus degradat i la continuïtat mínima en pèrdua de control principal.</w:t>
      </w:r>
    </w:p>
    <w:p w14:paraId="56EEF1AB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Proves de posada a punt. </w:t>
      </w:r>
    </w:p>
    <w:p w14:paraId="27BA2409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Documentar i dissenyar s’equilibraran cabals i pressions, com es provaran maniobres i alarmes, i com es verificarà el temps de recuperació fins a condicions de servei. </w:t>
      </w:r>
    </w:p>
    <w:p w14:paraId="2B052ADD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Resiliència de la instal·lació</w:t>
      </w:r>
    </w:p>
    <w:p w14:paraId="36AB1D14" w14:textId="3447CC0E" w:rsidR="00604441" w:rsidRPr="005D0888" w:rsidRDefault="00604441" w:rsidP="005D0888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Documentar i dissenyar els mecanismes que s’instal·laran i permetran garantir les condicions ambientals i la seva regulació tot i la fallida del sistema principal. </w:t>
      </w:r>
    </w:p>
    <w:p w14:paraId="5D8762B4" w14:textId="77777777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eastAsiaTheme="minorEastAsia" w:hAnsiTheme="majorHAnsi" w:cstheme="majorHAnsi"/>
          <w:sz w:val="20"/>
          <w:u w:val="single"/>
        </w:rPr>
        <w:t xml:space="preserve">Commissioning </w:t>
      </w:r>
      <w:r w:rsidRPr="00604441">
        <w:rPr>
          <w:rFonts w:asciiTheme="majorHAnsi" w:hAnsiTheme="majorHAnsi" w:cstheme="majorHAnsi"/>
          <w:sz w:val="20"/>
          <w:u w:val="single"/>
        </w:rPr>
        <w:t>orientats a pre</w:t>
      </w:r>
      <w:r w:rsidRPr="00604441">
        <w:rPr>
          <w:rFonts w:asciiTheme="majorHAnsi" w:hAnsiTheme="majorHAnsi" w:cstheme="majorHAnsi"/>
          <w:sz w:val="20"/>
          <w:u w:val="single"/>
        </w:rPr>
        <w:noBreakHyphen/>
        <w:t>validació</w:t>
      </w:r>
    </w:p>
    <w:p w14:paraId="2DE284D5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L’adjudicatari haurà d’elaborar un pla de posada a punt (commissioning) que expliqui com es provaran i ajustaran els sistemes instal·lats per garantir-ne el funcionament estable i la seva idoneïtat per a la </w:t>
      </w:r>
      <w:r w:rsidRPr="006F2A0C">
        <w:rPr>
          <w:rFonts w:asciiTheme="majorHAnsi" w:hAnsiTheme="majorHAnsi" w:cstheme="majorHAnsi"/>
          <w:sz w:val="20"/>
        </w:rPr>
        <w:lastRenderedPageBreak/>
        <w:t>validació posterior. El pla haurà d’assegurar, com a resultat, que les sales queden en estat “pre</w:t>
      </w:r>
      <w:r w:rsidRPr="006F2A0C">
        <w:rPr>
          <w:rFonts w:ascii="Cambria Math" w:hAnsi="Cambria Math" w:cs="Cambria Math"/>
          <w:sz w:val="20"/>
        </w:rPr>
        <w:t>‑</w:t>
      </w:r>
      <w:r w:rsidRPr="006F2A0C">
        <w:rPr>
          <w:rFonts w:asciiTheme="majorHAnsi" w:hAnsiTheme="majorHAnsi" w:cstheme="majorHAnsi"/>
          <w:sz w:val="20"/>
        </w:rPr>
        <w:t>validable</w:t>
      </w:r>
      <w:r w:rsidRPr="006F2A0C">
        <w:rPr>
          <w:rFonts w:ascii="Calibri" w:hAnsi="Calibri" w:cs="Calibri"/>
          <w:sz w:val="20"/>
        </w:rPr>
        <w:t>”</w:t>
      </w:r>
      <w:r w:rsidRPr="006F2A0C">
        <w:rPr>
          <w:rFonts w:asciiTheme="majorHAnsi" w:hAnsiTheme="majorHAnsi" w:cstheme="majorHAnsi"/>
          <w:sz w:val="20"/>
        </w:rPr>
        <w:t>, i inclour</w:t>
      </w:r>
      <w:r w:rsidRPr="006F2A0C">
        <w:rPr>
          <w:rFonts w:ascii="Calibri" w:hAnsi="Calibri" w:cs="Calibri"/>
          <w:sz w:val="20"/>
        </w:rPr>
        <w:t>à</w:t>
      </w:r>
      <w:r w:rsidRPr="006F2A0C">
        <w:rPr>
          <w:rFonts w:asciiTheme="majorHAnsi" w:hAnsiTheme="majorHAnsi" w:cstheme="majorHAnsi"/>
          <w:sz w:val="20"/>
        </w:rPr>
        <w:t>, com a m</w:t>
      </w:r>
      <w:r w:rsidRPr="006F2A0C">
        <w:rPr>
          <w:rFonts w:ascii="Calibri" w:hAnsi="Calibri" w:cs="Calibri"/>
          <w:sz w:val="20"/>
        </w:rPr>
        <w:t>í</w:t>
      </w:r>
      <w:r w:rsidRPr="006F2A0C">
        <w:rPr>
          <w:rFonts w:asciiTheme="majorHAnsi" w:hAnsiTheme="majorHAnsi" w:cstheme="majorHAnsi"/>
          <w:sz w:val="20"/>
        </w:rPr>
        <w:t>nim, els punts seg</w:t>
      </w:r>
      <w:r w:rsidRPr="006F2A0C">
        <w:rPr>
          <w:rFonts w:ascii="Calibri" w:hAnsi="Calibri" w:cs="Calibri"/>
          <w:sz w:val="20"/>
        </w:rPr>
        <w:t>ü</w:t>
      </w:r>
      <w:r w:rsidRPr="006F2A0C">
        <w:rPr>
          <w:rFonts w:asciiTheme="majorHAnsi" w:hAnsiTheme="majorHAnsi" w:cstheme="majorHAnsi"/>
          <w:sz w:val="20"/>
        </w:rPr>
        <w:t>ents:</w:t>
      </w:r>
    </w:p>
    <w:p w14:paraId="660EB95E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</w:p>
    <w:p w14:paraId="5DEA2AC1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Condicions ambientals (mesura i ajust)</w:t>
      </w:r>
      <w:r w:rsidRPr="006F2A0C">
        <w:rPr>
          <w:rFonts w:asciiTheme="majorHAnsi" w:hAnsiTheme="majorHAnsi" w:cstheme="majorHAnsi"/>
          <w:sz w:val="20"/>
        </w:rPr>
        <w:tab/>
      </w:r>
    </w:p>
    <w:p w14:paraId="7B77259F" w14:textId="77777777" w:rsidR="00604441" w:rsidRPr="006F2A0C" w:rsidRDefault="00604441" w:rsidP="00604441">
      <w:pPr>
        <w:pStyle w:val="Prrafodelista"/>
        <w:spacing w:after="240" w:line="320" w:lineRule="exact"/>
        <w:ind w:left="1440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El adjudicatari haurà de definir com es mesuraran i ajustaran els cabals d’aire, les pressions diferencials, la temperatura i la humitat de cada sala fins assolir els valors i toleràncies establerts al projecte i a la URS. La proposta descriurà la metodologia d’assaig i d’ajust, els instruments que s’utilitzaran (classe de precisió i calibratge), els punts i ports de mesura previstos, els criteris d’acceptació per sala (valors objectiu i marges admissibles), i el format dels registres que es lliuraran com a resultat d’aquests ajustos per deixar constància del balanç final d’aire i de l’estabilitat assolida</w:t>
      </w:r>
    </w:p>
    <w:p w14:paraId="24EB3A1A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Proves funcionals del control (maniobres, alarmes, estabilitat i recuperació)</w:t>
      </w:r>
      <w:r w:rsidRPr="006F2A0C">
        <w:rPr>
          <w:rFonts w:asciiTheme="majorHAnsi" w:hAnsiTheme="majorHAnsi" w:cstheme="majorHAnsi"/>
          <w:sz w:val="20"/>
        </w:rPr>
        <w:br/>
        <w:t>El adjudicatari haurà d’especificar com es provaran les maniobres i les alarmes del sistema de control, incloent obertura i tancament de comportes i vàlvules, arrencada i parada d’unitats, canvis de mode (normal, reduït/degradat, emergència) i retorn a la normalitat. La memòria descriurà les lògiques de prova, les condicions d’operació durant els assaigs (portes, ocupació i càrrega simulada si escau), el procediment per verificar l’estabilitat de les pressions i dels cabals davant canvis de condicions, i la manera de mesurar el temps de recuperació fins a condicions de servei després d’una aturada. Quan sigui pertinent, s’inclouran proves de visualització de flux amb fum a punts crítics per evidenciar patrons de moviment d’aire i absència de re</w:t>
      </w:r>
      <w:r w:rsidRPr="006F2A0C">
        <w:rPr>
          <w:rFonts w:asciiTheme="majorHAnsi" w:hAnsiTheme="majorHAnsi" w:cstheme="majorHAnsi"/>
          <w:sz w:val="20"/>
        </w:rPr>
        <w:noBreakHyphen/>
        <w:t>entrades.</w:t>
      </w:r>
    </w:p>
    <w:p w14:paraId="6F20BC4D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Evidències prèvies a la validació (paquet d’entrega “preparat per validar”)</w:t>
      </w:r>
      <w:r w:rsidRPr="006F2A0C">
        <w:rPr>
          <w:rFonts w:asciiTheme="majorHAnsi" w:hAnsiTheme="majorHAnsi" w:cstheme="majorHAnsi"/>
          <w:sz w:val="20"/>
        </w:rPr>
        <w:br/>
        <w:t>El adjudicatari definirà el contingut del paquet d’evidències que lliurarà per demostrar que els sistemes queden en estat “pre</w:t>
      </w:r>
      <w:r w:rsidRPr="006F2A0C">
        <w:rPr>
          <w:rFonts w:asciiTheme="majorHAnsi" w:hAnsiTheme="majorHAnsi" w:cstheme="majorHAnsi"/>
          <w:sz w:val="20"/>
        </w:rPr>
        <w:noBreakHyphen/>
        <w:t>validable”. Com a mínim inclourà: resultats dels ajustos ambientals amb traça de valors i toleràncies assolides per sala; relació de proves funcionals executades amb resultat i observacions; temps de recuperació mesurats; extractes de tendències de variables rellevants durant el període acordat que acreditin estabilitat; resultats i evidències de visualització de flux si s’han previst; i el conjunt de plànols i esquemes amb localització de punts i ports de prova utilitzats. També s’indicarà el format d’entrega i la seva organització perquè la Direcció Facultativa i el BST puguin verificar, de manera àgil, que les condicions per iniciar neteja i validació es compleixen.</w:t>
      </w:r>
    </w:p>
    <w:p w14:paraId="55E4D367" w14:textId="77777777" w:rsidR="00604441" w:rsidRPr="006F2A0C" w:rsidRDefault="00604441" w:rsidP="00604441">
      <w:pPr>
        <w:pStyle w:val="Prrafodelista"/>
        <w:numPr>
          <w:ilvl w:val="1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Preparació, calendarització i govern de les proves</w:t>
      </w:r>
      <w:r w:rsidRPr="006F2A0C">
        <w:rPr>
          <w:rFonts w:asciiTheme="majorHAnsi" w:hAnsiTheme="majorHAnsi" w:cstheme="majorHAnsi"/>
          <w:sz w:val="20"/>
        </w:rPr>
        <w:br/>
        <w:t>El adjudicatari descriurà el llistat de preparatius necessaris abans de cada sessió de proves (configuracions i consignes carregades, sensors verificats i calibrats, accessos i ports disponibles, equips i personal assignats, condicions d’operació acordades), així como el calendari de proves amb fites, durades estimades i responsables per assaig. Es definiran els criteris d’autorització d’inici (GO/NO</w:t>
      </w:r>
      <w:r w:rsidRPr="006F2A0C">
        <w:rPr>
          <w:rFonts w:asciiTheme="majorHAnsi" w:hAnsiTheme="majorHAnsi" w:cstheme="majorHAnsi"/>
          <w:sz w:val="20"/>
        </w:rPr>
        <w:noBreakHyphen/>
        <w:t>GO) de cada sessió, els canals d’escalat en cas d’incidència i el procediment de reprogramació sense afectació del termini compromès. Finalment, s’indicarà com es registraran els resultats i les incidències (format i traçabilitat) i com es tancaran amb les mesures correctores corresponents abans de considerar el sistema preparat per a la neteja i la validació.</w:t>
      </w:r>
    </w:p>
    <w:p w14:paraId="468EF2F4" w14:textId="77777777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hAnsiTheme="majorHAnsi" w:cstheme="majorHAnsi"/>
          <w:sz w:val="20"/>
          <w:u w:val="single"/>
        </w:rPr>
        <w:t>Mantenibilitat i neteja.</w:t>
      </w:r>
    </w:p>
    <w:p w14:paraId="750B60FD" w14:textId="77777777" w:rsidR="00604441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lastRenderedPageBreak/>
        <w:t>Justificar accessibilitat i mantenibilitat (registres, passeres, alçades lliures, radi d’actuació a equips), compatibilitat de superfícies amb neteja/desinfecció en sala blanca, i accessibilitat als ports de prova.</w:t>
      </w:r>
    </w:p>
    <w:p w14:paraId="06FB86FE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</w:p>
    <w:p w14:paraId="5094CEC2" w14:textId="77777777" w:rsidR="00604441" w:rsidRPr="00604441" w:rsidRDefault="00604441" w:rsidP="00604441">
      <w:pPr>
        <w:pStyle w:val="Prrafodelista"/>
        <w:numPr>
          <w:ilvl w:val="0"/>
          <w:numId w:val="3"/>
        </w:numPr>
        <w:spacing w:after="240" w:line="320" w:lineRule="exact"/>
        <w:jc w:val="both"/>
        <w:rPr>
          <w:rFonts w:asciiTheme="majorHAnsi" w:hAnsiTheme="majorHAnsi" w:cstheme="majorHAnsi"/>
          <w:sz w:val="20"/>
          <w:u w:val="single"/>
        </w:rPr>
      </w:pPr>
      <w:r w:rsidRPr="00604441">
        <w:rPr>
          <w:rFonts w:asciiTheme="majorHAnsi" w:hAnsiTheme="majorHAnsi" w:cstheme="majorHAnsi"/>
          <w:sz w:val="20"/>
          <w:u w:val="single"/>
        </w:rPr>
        <w:t xml:space="preserve">Anàlisi de risc </w:t>
      </w:r>
    </w:p>
    <w:p w14:paraId="77CCC443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El projecte haurà d’incloure un anàlisi de risc aplicat que identifiqui on ens podem equivocar i com es prevé o es corregeix: per exemple, pèrdua de pressió diferencial, humitat fora de rang, errors de maniobra de comportes o fallades de sensor. </w:t>
      </w:r>
    </w:p>
    <w:p w14:paraId="05922BBD" w14:textId="77777777" w:rsidR="00604441" w:rsidRPr="006F2A0C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 xml:space="preserve">Es demana un registre on, per a cada risc rellevant, s’indiqui el possible impacte (sobre condicions ambientals o operativa), la probabilitat, i què es fa per evitar-lo (disseny/controls) i com s’actua si passa (contingència). </w:t>
      </w:r>
    </w:p>
    <w:p w14:paraId="61FABEF3" w14:textId="6F7F7474" w:rsidR="001E5984" w:rsidRPr="00604441" w:rsidRDefault="00604441" w:rsidP="00604441">
      <w:pPr>
        <w:pStyle w:val="Prrafodelista"/>
        <w:spacing w:after="240" w:line="320" w:lineRule="exact"/>
        <w:jc w:val="both"/>
        <w:rPr>
          <w:rFonts w:asciiTheme="majorHAnsi" w:hAnsiTheme="majorHAnsi" w:cstheme="majorHAnsi"/>
          <w:sz w:val="20"/>
        </w:rPr>
      </w:pPr>
      <w:r w:rsidRPr="006F2A0C">
        <w:rPr>
          <w:rFonts w:asciiTheme="majorHAnsi" w:hAnsiTheme="majorHAnsi" w:cstheme="majorHAnsi"/>
          <w:sz w:val="20"/>
        </w:rPr>
        <w:t>Es sol·licitarà un FMEA resum (mode de fallada, efecte i acció) o equivalent, sempre vinculat al disseny i a les lògiques de control que es proposen.</w:t>
      </w:r>
    </w:p>
    <w:sectPr w:rsidR="001E5984" w:rsidRPr="00604441" w:rsidSect="00DA61AD">
      <w:headerReference w:type="default" r:id="rId8"/>
      <w:footerReference w:type="default" r:id="rId9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8ADA0" w14:textId="77777777" w:rsidR="005368E9" w:rsidRDefault="005368E9">
      <w:r>
        <w:separator/>
      </w:r>
    </w:p>
  </w:endnote>
  <w:endnote w:type="continuationSeparator" w:id="0">
    <w:p w14:paraId="7A66E39E" w14:textId="77777777" w:rsidR="005368E9" w:rsidRDefault="0053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FB701" w14:textId="77777777" w:rsidR="005368E9" w:rsidRDefault="005368E9">
      <w:r>
        <w:separator/>
      </w:r>
    </w:p>
  </w:footnote>
  <w:footnote w:type="continuationSeparator" w:id="0">
    <w:p w14:paraId="3844BED6" w14:textId="77777777" w:rsidR="005368E9" w:rsidRDefault="0053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8453D"/>
    <w:multiLevelType w:val="hybridMultilevel"/>
    <w:tmpl w:val="3048ADF2"/>
    <w:lvl w:ilvl="0" w:tplc="F888FF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07F4A"/>
    <w:multiLevelType w:val="multilevel"/>
    <w:tmpl w:val="1168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DD0F67"/>
    <w:multiLevelType w:val="hybridMultilevel"/>
    <w:tmpl w:val="45C27278"/>
    <w:lvl w:ilvl="0" w:tplc="B7167AE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071146"/>
    <w:rsid w:val="001E5984"/>
    <w:rsid w:val="00326491"/>
    <w:rsid w:val="003313A1"/>
    <w:rsid w:val="00444CDA"/>
    <w:rsid w:val="0045117D"/>
    <w:rsid w:val="005368E9"/>
    <w:rsid w:val="00540F14"/>
    <w:rsid w:val="005D0888"/>
    <w:rsid w:val="00602323"/>
    <w:rsid w:val="00604441"/>
    <w:rsid w:val="00735FFD"/>
    <w:rsid w:val="009449A7"/>
    <w:rsid w:val="009C6FF6"/>
    <w:rsid w:val="009E13CD"/>
    <w:rsid w:val="00CA6B93"/>
    <w:rsid w:val="00DA61AD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B93"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9E13C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E13CD"/>
    <w:pPr>
      <w:spacing w:before="100" w:beforeAutospacing="1" w:after="100" w:afterAutospacing="1"/>
    </w:pPr>
    <w:rPr>
      <w:lang w:eastAsia="ca-ES"/>
    </w:rPr>
  </w:style>
  <w:style w:type="paragraph" w:styleId="Prrafodelista">
    <w:name w:val="List Paragraph"/>
    <w:basedOn w:val="Normal"/>
    <w:link w:val="PrrafodelistaCar"/>
    <w:qFormat/>
    <w:rsid w:val="009E13CD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rsid w:val="00604441"/>
  </w:style>
  <w:style w:type="character" w:styleId="Refdecomentario">
    <w:name w:val="annotation reference"/>
    <w:basedOn w:val="Fuentedeprrafopredeter"/>
    <w:uiPriority w:val="99"/>
    <w:semiHidden/>
    <w:unhideWhenUsed/>
    <w:rsid w:val="00CA6B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A6B93"/>
    <w:rPr>
      <w:rFonts w:asciiTheme="minorHAnsi" w:eastAsiaTheme="minorEastAsia" w:hAnsiTheme="minorHAnsi" w:cstheme="minorBidi"/>
      <w:sz w:val="20"/>
      <w:szCs w:val="20"/>
      <w:lang w:val="en-GB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6B93"/>
    <w:rPr>
      <w:rFonts w:asciiTheme="minorHAnsi" w:eastAsiaTheme="minorEastAsia" w:hAnsiTheme="minorHAnsi" w:cstheme="minorBidi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Salon Ajenjo</dc:creator>
  <cp:lastModifiedBy>Antonio Ibanez Serrano</cp:lastModifiedBy>
  <cp:revision>8</cp:revision>
  <dcterms:created xsi:type="dcterms:W3CDTF">2026-03-07T13:11:00Z</dcterms:created>
  <dcterms:modified xsi:type="dcterms:W3CDTF">2026-04-16T10:32:00Z</dcterms:modified>
</cp:coreProperties>
</file>